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BCC90" w14:textId="77777777" w:rsidR="003D20A4" w:rsidRPr="006570A7" w:rsidRDefault="003D20A4" w:rsidP="003D20A4">
      <w:pPr>
        <w:spacing w:after="0" w:line="240" w:lineRule="auto"/>
        <w:jc w:val="center"/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  <w:t>VZOR</w:t>
      </w:r>
    </w:p>
    <w:p w14:paraId="50C36CA1" w14:textId="77777777" w:rsidR="003D20A4" w:rsidRPr="006570A7" w:rsidRDefault="003D20A4" w:rsidP="003D20A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42B3ECB" w14:textId="77777777" w:rsidR="003D20A4" w:rsidRPr="006570A7" w:rsidRDefault="003D20A4" w:rsidP="003D20A4">
      <w:pPr>
        <w:spacing w:after="0" w:line="240" w:lineRule="auto"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b/>
          <w:caps/>
          <w:sz w:val="24"/>
          <w:szCs w:val="24"/>
          <w:lang w:eastAsia="en-US"/>
        </w:rPr>
        <w:t>Vyrozumění o pŘIJETÍ Oznámení</w:t>
      </w:r>
    </w:p>
    <w:p w14:paraId="3A14D793" w14:textId="77777777" w:rsidR="003D20A4" w:rsidRPr="006570A7" w:rsidRDefault="003D20A4" w:rsidP="003D20A4">
      <w:pPr>
        <w:spacing w:after="0" w:line="240" w:lineRule="auto"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</w:p>
    <w:p w14:paraId="4C9EF68C" w14:textId="77777777" w:rsidR="003D20A4" w:rsidRPr="006570A7" w:rsidRDefault="003D20A4" w:rsidP="003D20A4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09653207" w14:textId="77777777" w:rsidR="003D20A4" w:rsidRPr="006570A7" w:rsidRDefault="003D20A4" w:rsidP="003D20A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A3CEFDE" w14:textId="77777777" w:rsidR="003D20A4" w:rsidRPr="006570A7" w:rsidRDefault="003D20A4" w:rsidP="003D20A4">
      <w:pPr>
        <w:spacing w:after="0" w:line="240" w:lineRule="auto"/>
        <w:ind w:left="1210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>Datum:</w:t>
      </w:r>
    </w:p>
    <w:p w14:paraId="5ECAC966" w14:textId="77777777" w:rsidR="003D20A4" w:rsidRPr="006570A7" w:rsidRDefault="003D20A4" w:rsidP="003D20A4">
      <w:pPr>
        <w:spacing w:after="0" w:line="240" w:lineRule="auto"/>
        <w:ind w:left="5458" w:firstLine="206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Místo:</w:t>
      </w:r>
    </w:p>
    <w:p w14:paraId="249D3F46" w14:textId="77777777" w:rsidR="003D20A4" w:rsidRPr="006570A7" w:rsidRDefault="003D20A4" w:rsidP="003D20A4">
      <w:pPr>
        <w:spacing w:after="0" w:line="240" w:lineRule="auto"/>
        <w:ind w:left="1210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>Č. j.: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>Počet listů:</w:t>
      </w:r>
    </w:p>
    <w:p w14:paraId="3F912584" w14:textId="77777777" w:rsidR="003D20A4" w:rsidRPr="006570A7" w:rsidRDefault="003D20A4" w:rsidP="003D20A4">
      <w:pPr>
        <w:spacing w:after="0" w:line="240" w:lineRule="auto"/>
        <w:ind w:left="1210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ab/>
        <w:t>Přílohy: 1</w:t>
      </w:r>
    </w:p>
    <w:p w14:paraId="3E58FE90" w14:textId="77777777" w:rsidR="003D20A4" w:rsidRPr="006570A7" w:rsidRDefault="003D20A4" w:rsidP="003D20A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72AAA55" w14:textId="77777777" w:rsidR="003D20A4" w:rsidRPr="006570A7" w:rsidRDefault="003D20A4" w:rsidP="003D20A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AD57EC8" w14:textId="77777777" w:rsidR="003D20A4" w:rsidRPr="006570A7" w:rsidRDefault="003D20A4" w:rsidP="003D20A4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2B6D9AE5" w14:textId="77777777" w:rsidR="003D20A4" w:rsidRPr="006570A7" w:rsidRDefault="003D20A4" w:rsidP="003D20A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Vyrozumění o přijetí oznámení o možném protiprávním jednání podle zákona č. 171/ 2023 Sb., o ochraně oznamovatelů.</w:t>
      </w:r>
    </w:p>
    <w:p w14:paraId="26DC0DAC" w14:textId="77777777" w:rsidR="003D20A4" w:rsidRPr="006570A7" w:rsidRDefault="003D20A4" w:rsidP="003D20A4">
      <w:pPr>
        <w:spacing w:after="160" w:line="259" w:lineRule="auto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</w:p>
    <w:p w14:paraId="63054817" w14:textId="77777777" w:rsidR="003D20A4" w:rsidRPr="006570A7" w:rsidRDefault="003D20A4" w:rsidP="003D20A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Vážená paní / Vážený pane,</w:t>
      </w:r>
    </w:p>
    <w:p w14:paraId="5CAB7491" w14:textId="77777777" w:rsidR="003D20A4" w:rsidRPr="006570A7" w:rsidRDefault="003D20A4" w:rsidP="003D20A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8A3D331" w14:textId="77777777" w:rsidR="003D20A4" w:rsidRPr="006570A7" w:rsidRDefault="003D20A4" w:rsidP="003D20A4">
      <w:pPr>
        <w:spacing w:after="160" w:line="259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dne [</w:t>
      </w: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t>doplnit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] jsem jako příslušná osoba určená podle § </w:t>
      </w:r>
      <w:r w:rsidRPr="006570A7">
        <w:rPr>
          <w:rFonts w:ascii="Times New Roman" w:hAnsi="Times New Roman"/>
          <w:sz w:val="24"/>
          <w:szCs w:val="24"/>
          <w:lang w:eastAsia="en-US"/>
        </w:rPr>
        <w:t>9 odst. 1. zákona č. 171/2023 Sb., o ochraně oznamovatelů, přijal/a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 Vaše oznámení ve věci [</w:t>
      </w: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t>doplnit dle obsahu oznámení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>].</w:t>
      </w:r>
    </w:p>
    <w:p w14:paraId="7FE9C395" w14:textId="77777777" w:rsidR="003D20A4" w:rsidRPr="006570A7" w:rsidRDefault="003D20A4" w:rsidP="003D20A4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V příloze Vám zasílám informace týkající se dalšího postupu vyřizování Vašeho oznámení.  </w:t>
      </w:r>
    </w:p>
    <w:p w14:paraId="46012197" w14:textId="77777777" w:rsidR="003D20A4" w:rsidRPr="006570A7" w:rsidRDefault="003D20A4" w:rsidP="003D20A4">
      <w:pPr>
        <w:spacing w:after="160" w:line="259" w:lineRule="auto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</w:p>
    <w:p w14:paraId="34727E70" w14:textId="77777777" w:rsidR="003D20A4" w:rsidRPr="006570A7" w:rsidRDefault="003D20A4" w:rsidP="003D20A4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</w:t>
      </w:r>
    </w:p>
    <w:p w14:paraId="27696DB3" w14:textId="77777777" w:rsidR="003D20A4" w:rsidRPr="006570A7" w:rsidRDefault="003D20A4" w:rsidP="003D20A4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2A22BCB" w14:textId="77777777" w:rsidR="003D20A4" w:rsidRPr="006570A7" w:rsidRDefault="003D20A4" w:rsidP="003D20A4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276D453" w14:textId="77777777" w:rsidR="003D20A4" w:rsidRPr="006570A7" w:rsidRDefault="003D20A4" w:rsidP="003D20A4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3BC5C3A" w14:textId="77777777" w:rsidR="003D20A4" w:rsidRPr="006570A7" w:rsidRDefault="003D20A4" w:rsidP="003D20A4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C2B0272" w14:textId="77777777" w:rsidR="003D20A4" w:rsidRPr="006570A7" w:rsidRDefault="003D20A4" w:rsidP="003D20A4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909C667" w14:textId="77777777" w:rsidR="003D20A4" w:rsidRPr="006570A7" w:rsidRDefault="003D20A4" w:rsidP="003D20A4">
      <w:pPr>
        <w:spacing w:after="16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70D21FB" w14:textId="77777777" w:rsidR="003D20A4" w:rsidRPr="006570A7" w:rsidRDefault="003D20A4" w:rsidP="003D20A4">
      <w:pPr>
        <w:spacing w:after="160" w:line="259" w:lineRule="auto"/>
        <w:jc w:val="right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podpis příslušné osoby   </w:t>
      </w:r>
    </w:p>
    <w:p w14:paraId="3DDD5561" w14:textId="77777777" w:rsidR="003D20A4" w:rsidRPr="006570A7" w:rsidRDefault="003D20A4" w:rsidP="003D20A4">
      <w:pPr>
        <w:spacing w:after="160" w:line="259" w:lineRule="auto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</w:p>
    <w:p w14:paraId="6F2130BE" w14:textId="77777777" w:rsidR="003D20A4" w:rsidRPr="006570A7" w:rsidRDefault="003D20A4" w:rsidP="003D20A4">
      <w:pPr>
        <w:spacing w:after="160" w:line="259" w:lineRule="auto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</w:p>
    <w:p w14:paraId="6757E64D" w14:textId="77777777" w:rsidR="003D20A4" w:rsidRPr="006570A7" w:rsidRDefault="003D20A4" w:rsidP="003D20A4">
      <w:pPr>
        <w:spacing w:after="160" w:line="259" w:lineRule="auto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</w:p>
    <w:p w14:paraId="322B0CC9" w14:textId="77777777" w:rsidR="003D20A4" w:rsidRPr="006570A7" w:rsidRDefault="003D20A4" w:rsidP="003D20A4">
      <w:pPr>
        <w:spacing w:after="160" w:line="259" w:lineRule="auto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</w:p>
    <w:p w14:paraId="38965BAE" w14:textId="77777777" w:rsidR="003D20A4" w:rsidRPr="006570A7" w:rsidRDefault="003D20A4" w:rsidP="003D20A4">
      <w:pPr>
        <w:spacing w:after="160" w:line="259" w:lineRule="auto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</w:p>
    <w:p w14:paraId="7B47E1D2" w14:textId="77777777" w:rsidR="003D20A4" w:rsidRDefault="003D20A4" w:rsidP="003D20A4">
      <w:pPr>
        <w:spacing w:after="160" w:line="259" w:lineRule="auto"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</w:p>
    <w:p w14:paraId="6D2A8ED6" w14:textId="77777777" w:rsidR="00A313D2" w:rsidRPr="006570A7" w:rsidRDefault="00A313D2" w:rsidP="003D20A4">
      <w:pPr>
        <w:spacing w:after="160" w:line="259" w:lineRule="auto"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</w:p>
    <w:p w14:paraId="0FAF3DA9" w14:textId="77777777" w:rsidR="003D20A4" w:rsidRPr="006570A7" w:rsidRDefault="003D20A4" w:rsidP="003D20A4">
      <w:pPr>
        <w:spacing w:after="160" w:line="259" w:lineRule="auto"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lastRenderedPageBreak/>
        <w:t>Příloha</w:t>
      </w:r>
    </w:p>
    <w:p w14:paraId="50DD4659" w14:textId="77777777" w:rsidR="003D20A4" w:rsidRPr="006570A7" w:rsidRDefault="003D20A4" w:rsidP="003D20A4">
      <w:pPr>
        <w:spacing w:after="160" w:line="259" w:lineRule="auto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  <w:r w:rsidRPr="006570A7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 xml:space="preserve">Informace pro oznamovatele: </w:t>
      </w:r>
    </w:p>
    <w:p w14:paraId="53E0A8E3" w14:textId="77777777" w:rsidR="003D20A4" w:rsidRPr="006570A7" w:rsidRDefault="003D20A4" w:rsidP="003D20A4">
      <w:pPr>
        <w:numPr>
          <w:ilvl w:val="0"/>
          <w:numId w:val="1"/>
        </w:numPr>
        <w:spacing w:after="120" w:line="259" w:lineRule="auto"/>
        <w:ind w:left="357" w:hanging="357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  <w:r w:rsidRPr="006570A7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Zákaz poskytnutí údajů třetí osobě</w:t>
      </w:r>
    </w:p>
    <w:p w14:paraId="6CBBDD29" w14:textId="77777777" w:rsidR="003D20A4" w:rsidRPr="006570A7" w:rsidRDefault="003D20A4" w:rsidP="003D20A4">
      <w:pPr>
        <w:spacing w:after="120" w:line="259" w:lineRule="auto"/>
        <w:ind w:left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Příslušná osoba neposkytne třetí osobě informace, které by mohly zmařit nebo ohrozit účel podávání oznámení. </w:t>
      </w:r>
    </w:p>
    <w:p w14:paraId="7E205FC8" w14:textId="77777777" w:rsidR="003D20A4" w:rsidRPr="006570A7" w:rsidRDefault="003D20A4" w:rsidP="003D20A4">
      <w:pPr>
        <w:spacing w:after="120" w:line="259" w:lineRule="auto"/>
        <w:ind w:left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Do evidence údajů o přijatých oznámeních a k dokumentům souvisejícím s oznámením – uchovávaným povinným subjektem má přístup pouze příslušná osoba.    </w:t>
      </w:r>
    </w:p>
    <w:p w14:paraId="3B077F75" w14:textId="77777777" w:rsidR="003D20A4" w:rsidRPr="006570A7" w:rsidRDefault="003D20A4" w:rsidP="003D20A4">
      <w:pPr>
        <w:spacing w:after="120" w:line="259" w:lineRule="auto"/>
        <w:ind w:left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Informace o totožnosti oznamovatele a osoby podle § 4 odst. 2 písm. a) až h) zákona č. 171/2023 Sb., o ochraně oznamovatelů, je možné poskytnout jen s jejich </w:t>
      </w:r>
      <w:r w:rsidRPr="006570A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písemným souhlasem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, ledaže je příslušná osoba povinna tyto informace poskytnout příslušným orgánům veřejné moci podle jiných právních předpisů. </w:t>
      </w:r>
    </w:p>
    <w:p w14:paraId="29B17276" w14:textId="77777777" w:rsidR="003D20A4" w:rsidRPr="006570A7" w:rsidRDefault="003D20A4" w:rsidP="003D20A4">
      <w:pPr>
        <w:spacing w:after="120" w:line="259" w:lineRule="auto"/>
        <w:ind w:left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Je-li povinný subjekt státním orgánem, vztahuje se na něj povinnost podle § 8 odst. 1 zákona č. 141/1961/Sb., o trestním řízení soudním (trestního řádu), podle kterého jsou státní orgány </w:t>
      </w: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t>neprodleně oznamovat státnímu zástupci nebo policejním orgánům skutečnosti nasvědčující tomu, že byl spáchán trestný čin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1780F33C" w14:textId="77777777" w:rsidR="003D20A4" w:rsidRPr="006570A7" w:rsidRDefault="003D20A4" w:rsidP="003D20A4">
      <w:pPr>
        <w:spacing w:after="120" w:line="259" w:lineRule="auto"/>
        <w:ind w:left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Je-li povinný subjekt správním orgánem, vztahuje se na něj povinnost podle § 73 zákona č. 250/2016 Sb., o odpovědnosti za přestupky a řízení o nich, podle kterého má-li správní orgán důvodné podezření, že byl spáchán přestupek, a není-li sám příslušný k jeho projednání, oznámí tuto skutečnost bez zbytečného odkladu příslušnému správnímu orgánu.</w:t>
      </w:r>
    </w:p>
    <w:p w14:paraId="48FFFA85" w14:textId="77777777" w:rsidR="003D20A4" w:rsidRPr="006570A7" w:rsidRDefault="003D20A4" w:rsidP="003D20A4">
      <w:pPr>
        <w:spacing w:after="120" w:line="259" w:lineRule="auto"/>
        <w:ind w:left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Poskytuje-li příslušná osoba informaci o totožnosti oznamovatele orgánu veřejné moci, je povinen o tom předem oznamovatele vyrozumět s důvody, pro které je povinen informaci o totožnosti poskytnout, a umožnit oznamovateli, aby se k poskytnutí informace vyjádřil.</w:t>
      </w:r>
    </w:p>
    <w:p w14:paraId="1F3AA339" w14:textId="77777777" w:rsidR="003D20A4" w:rsidRPr="006570A7" w:rsidRDefault="003D20A4" w:rsidP="003D20A4">
      <w:pPr>
        <w:spacing w:after="120" w:line="259" w:lineRule="auto"/>
        <w:ind w:left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Na všechny osoby včetně osob příslušných a oznamovatelů se rovněž vztahuje povinnost oznamovat vyjmenované trestné činy podle § 368 odst. 1 zákona č. 40/2009 Sb., trestní zákoník.</w:t>
      </w:r>
    </w:p>
    <w:p w14:paraId="2794928E" w14:textId="77777777" w:rsidR="003D20A4" w:rsidRPr="006570A7" w:rsidRDefault="003D20A4" w:rsidP="003D20A4">
      <w:pPr>
        <w:numPr>
          <w:ilvl w:val="0"/>
          <w:numId w:val="1"/>
        </w:numPr>
        <w:spacing w:after="120" w:line="259" w:lineRule="auto"/>
        <w:ind w:left="357" w:hanging="357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  <w:r w:rsidRPr="006570A7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 xml:space="preserve">Posuzování oznámení </w:t>
      </w:r>
    </w:p>
    <w:p w14:paraId="09C72B0E" w14:textId="77777777" w:rsidR="003D20A4" w:rsidRPr="006570A7" w:rsidRDefault="003D20A4" w:rsidP="003D20A4">
      <w:pPr>
        <w:spacing w:after="120" w:line="259" w:lineRule="auto"/>
        <w:ind w:left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Příslušná osoba je povinna </w:t>
      </w:r>
      <w:r w:rsidRPr="006570A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posoudit důvodnost oznámení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 a písemně vyrozumět oznamovatele o výsledcích posouzení </w:t>
      </w:r>
      <w:r w:rsidRPr="006570A7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do 30 dnů 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>ode dne přijetí oznámení</w:t>
      </w:r>
      <w:r w:rsidRPr="006570A7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 V případech skutkově nebo právně složitých lze tuto lhůtu prodloužit až dvakrát, vždy o 30 dnů. O prodloužení lhůty a důvodech pro její prodloužení je příslušná osoba povinna oznamovatele písemně vyrozumět před jejím uplynutím.</w:t>
      </w:r>
    </w:p>
    <w:p w14:paraId="38CB66EB" w14:textId="77777777" w:rsidR="003D20A4" w:rsidRPr="006570A7" w:rsidRDefault="003D20A4" w:rsidP="003D20A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70A7">
        <w:rPr>
          <w:rFonts w:ascii="Times New Roman" w:hAnsi="Times New Roman"/>
          <w:sz w:val="24"/>
          <w:szCs w:val="24"/>
        </w:rPr>
        <w:t>Zjistí-li příslušná osoba při posuzování důvodnosti oznámení, že nejde o oznámení podle tohoto zákona, bez zbytečného odkladu o tom písemně vyrozumí oznamovatele.</w:t>
      </w:r>
    </w:p>
    <w:p w14:paraId="6E380D00" w14:textId="77777777" w:rsidR="003D20A4" w:rsidRPr="006570A7" w:rsidRDefault="003D20A4" w:rsidP="003D20A4">
      <w:pPr>
        <w:spacing w:after="0" w:line="240" w:lineRule="auto"/>
        <w:ind w:left="717"/>
        <w:jc w:val="both"/>
        <w:rPr>
          <w:rFonts w:ascii="Times New Roman" w:hAnsi="Times New Roman"/>
          <w:sz w:val="24"/>
          <w:szCs w:val="24"/>
        </w:rPr>
      </w:pPr>
    </w:p>
    <w:p w14:paraId="7757ABB6" w14:textId="77777777" w:rsidR="003D20A4" w:rsidRPr="006570A7" w:rsidRDefault="003D20A4" w:rsidP="003D20A4">
      <w:pPr>
        <w:numPr>
          <w:ilvl w:val="0"/>
          <w:numId w:val="3"/>
        </w:numPr>
        <w:spacing w:after="12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Je-li oznámení vyhodnoceno jako důvodné, příslušná osoba povinnému subjektu navrhne opatření k předejití nebo nápravě protiprávního stavu. Je-li oznámení podáno u příslušné osoby povinného subjektu, pro který oznamovatel nevykonává práci nebo jinou obdobnou činnost, navrhuje příslušná osoba nápravná opatření osobě, pro kterou oznamovatel vykonává práci nebo jinou obdobnou činnost, nevylučuje-li to povaha věci. Nepřijme-li povinný subjekt opatření navržené příslušnou osobou, přijme k předejití nebo nápravě protiprávního stavu jiné vhodné opatření; to neplatí, jde-li 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lastRenderedPageBreak/>
        <w:t>o opatření navržené jiné osobě než povinnému subjektu, který tuto příslušnou osobu určil.</w:t>
      </w:r>
    </w:p>
    <w:p w14:paraId="796368EA" w14:textId="77777777" w:rsidR="003D20A4" w:rsidRPr="006570A7" w:rsidRDefault="003D20A4" w:rsidP="003D20A4">
      <w:pPr>
        <w:numPr>
          <w:ilvl w:val="0"/>
          <w:numId w:val="1"/>
        </w:numPr>
        <w:spacing w:after="120" w:line="259" w:lineRule="auto"/>
        <w:ind w:left="357" w:hanging="357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  <w:r w:rsidRPr="006570A7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 xml:space="preserve">Jak postupovat v případě odvetných opatření </w:t>
      </w:r>
    </w:p>
    <w:p w14:paraId="75BCC653" w14:textId="77777777" w:rsidR="003D20A4" w:rsidRPr="006570A7" w:rsidRDefault="003D20A4" w:rsidP="003D20A4">
      <w:pPr>
        <w:spacing w:after="120" w:line="259" w:lineRule="auto"/>
        <w:ind w:left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Za hlavní ochranné opatření lze považovat zákaz uplatnění odvetného opatření vůči oznamovateli a dalším chráněným fyzickým i právnickým osobám (např. kolegům, pomocníkům oznamovatele, osobám oznamovateli blízkým, právnickým osobám, jejichž společníkem je oznamovatel atd.) a zákaz umožnit uplatnění odvetného opatření, který dopadá na povinné subjekty.</w:t>
      </w:r>
    </w:p>
    <w:p w14:paraId="66115EF4" w14:textId="77777777" w:rsidR="003D20A4" w:rsidRPr="006570A7" w:rsidRDefault="003D20A4" w:rsidP="003D20A4">
      <w:pPr>
        <w:spacing w:after="120" w:line="259" w:lineRule="auto"/>
        <w:ind w:left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Odvetným opatřením se rozumí „jednání nebo jeho opomenutí v souvislosti s prací nebo jinou obdobnou činností oznamovatele, které bylo vyvoláno učiněním oznámení a které oznamovateli nebo osobě podle odstavce 2 písm. a) až h) může způsobit újmu“. </w:t>
      </w:r>
    </w:p>
    <w:p w14:paraId="437499C5" w14:textId="77777777" w:rsidR="003D20A4" w:rsidRPr="006570A7" w:rsidRDefault="003D20A4" w:rsidP="003D20A4">
      <w:pPr>
        <w:spacing w:after="120" w:line="259" w:lineRule="auto"/>
        <w:ind w:firstLine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Takovým odvetným opatřením může být dle zákona o ochraně oznamovatelů zejména:</w:t>
      </w:r>
    </w:p>
    <w:p w14:paraId="6B3C0051" w14:textId="77777777" w:rsidR="003D20A4" w:rsidRPr="006570A7" w:rsidRDefault="003D20A4" w:rsidP="003D20A4">
      <w:pPr>
        <w:numPr>
          <w:ilvl w:val="0"/>
          <w:numId w:val="2"/>
        </w:numPr>
        <w:shd w:val="clear" w:color="auto" w:fill="FFFFFF"/>
        <w:spacing w:after="12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rozvázání pracovního poměru nebo neprodloužení pracovního poměru na dobu určitou,</w:t>
      </w:r>
    </w:p>
    <w:p w14:paraId="77E516E3" w14:textId="77777777" w:rsidR="003D20A4" w:rsidRPr="006570A7" w:rsidRDefault="003D20A4" w:rsidP="003D20A4">
      <w:pPr>
        <w:numPr>
          <w:ilvl w:val="0"/>
          <w:numId w:val="2"/>
        </w:numPr>
        <w:shd w:val="clear" w:color="auto" w:fill="FFFFFF"/>
        <w:spacing w:after="12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zproštění výkonu služby, zařazení mimo výkon služby nebo skončení služebního poměru,</w:t>
      </w:r>
    </w:p>
    <w:p w14:paraId="2AABFF39" w14:textId="77777777" w:rsidR="003D20A4" w:rsidRPr="006570A7" w:rsidRDefault="003D20A4" w:rsidP="003D20A4">
      <w:pPr>
        <w:numPr>
          <w:ilvl w:val="0"/>
          <w:numId w:val="2"/>
        </w:numPr>
        <w:shd w:val="clear" w:color="auto" w:fill="FFFFFF"/>
        <w:spacing w:after="12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zrušení právního vztahu založeného dohodou o provedení práce nebo dohodou o pracovní činnosti,</w:t>
      </w:r>
    </w:p>
    <w:p w14:paraId="236AF1D2" w14:textId="77777777" w:rsidR="003D20A4" w:rsidRPr="006570A7" w:rsidRDefault="003D20A4" w:rsidP="003D20A4">
      <w:pPr>
        <w:numPr>
          <w:ilvl w:val="0"/>
          <w:numId w:val="2"/>
        </w:numPr>
        <w:shd w:val="clear" w:color="auto" w:fill="FFFFFF"/>
        <w:spacing w:after="12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odvolání z místa vedoucího zaměstnance nebo ze služebního místa představeného,</w:t>
      </w:r>
    </w:p>
    <w:p w14:paraId="58CBBD09" w14:textId="77777777" w:rsidR="003D20A4" w:rsidRPr="006570A7" w:rsidRDefault="003D20A4" w:rsidP="003D20A4">
      <w:pPr>
        <w:numPr>
          <w:ilvl w:val="0"/>
          <w:numId w:val="2"/>
        </w:numPr>
        <w:shd w:val="clear" w:color="auto" w:fill="FFFFFF"/>
        <w:spacing w:after="12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 uložení kárného opatření nebo kázeňského trestu,</w:t>
      </w:r>
    </w:p>
    <w:p w14:paraId="1B1FE182" w14:textId="77777777" w:rsidR="003D20A4" w:rsidRPr="006570A7" w:rsidRDefault="003D20A4" w:rsidP="003D20A4">
      <w:pPr>
        <w:numPr>
          <w:ilvl w:val="0"/>
          <w:numId w:val="2"/>
        </w:numPr>
        <w:shd w:val="clear" w:color="auto" w:fill="FFFFFF"/>
        <w:spacing w:after="12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snížení mzdy, platu nebo odměny nebo nepřiznání osobního příplatku,</w:t>
      </w:r>
    </w:p>
    <w:p w14:paraId="311AE689" w14:textId="77777777" w:rsidR="003D20A4" w:rsidRPr="006570A7" w:rsidRDefault="003D20A4" w:rsidP="003D20A4">
      <w:pPr>
        <w:numPr>
          <w:ilvl w:val="0"/>
          <w:numId w:val="2"/>
        </w:numPr>
        <w:shd w:val="clear" w:color="auto" w:fill="FFFFFF"/>
        <w:spacing w:after="12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přeložení nebo převedení na jinou práci nebo na jiné služební místo,</w:t>
      </w:r>
    </w:p>
    <w:p w14:paraId="700AD2FC" w14:textId="77777777" w:rsidR="003D20A4" w:rsidRPr="006570A7" w:rsidRDefault="003D20A4" w:rsidP="003D20A4">
      <w:pPr>
        <w:numPr>
          <w:ilvl w:val="0"/>
          <w:numId w:val="2"/>
        </w:numPr>
        <w:shd w:val="clear" w:color="auto" w:fill="FFFFFF"/>
        <w:spacing w:after="12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služební hodnocení nebo pracovní posudek,</w:t>
      </w:r>
    </w:p>
    <w:p w14:paraId="6A4CF6BE" w14:textId="77777777" w:rsidR="003D20A4" w:rsidRPr="006570A7" w:rsidRDefault="003D20A4" w:rsidP="003D20A4">
      <w:pPr>
        <w:numPr>
          <w:ilvl w:val="0"/>
          <w:numId w:val="2"/>
        </w:numPr>
        <w:shd w:val="clear" w:color="auto" w:fill="FFFFFF"/>
        <w:spacing w:after="12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neumožnění odborného rozvoje,</w:t>
      </w:r>
    </w:p>
    <w:p w14:paraId="25A2D820" w14:textId="77777777" w:rsidR="003D20A4" w:rsidRPr="006570A7" w:rsidRDefault="003D20A4" w:rsidP="003D20A4">
      <w:pPr>
        <w:numPr>
          <w:ilvl w:val="0"/>
          <w:numId w:val="2"/>
        </w:numPr>
        <w:shd w:val="clear" w:color="auto" w:fill="FFFFFF"/>
        <w:spacing w:after="12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změna pracovní nebo služební doby,</w:t>
      </w:r>
    </w:p>
    <w:p w14:paraId="734A1C30" w14:textId="77777777" w:rsidR="003D20A4" w:rsidRPr="006570A7" w:rsidRDefault="003D20A4" w:rsidP="003D20A4">
      <w:pPr>
        <w:numPr>
          <w:ilvl w:val="0"/>
          <w:numId w:val="2"/>
        </w:numPr>
        <w:shd w:val="clear" w:color="auto" w:fill="FFFFFF"/>
        <w:spacing w:after="12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vyžadování lékařského posudku nebo pracovnělékařské prohlídky,</w:t>
      </w:r>
    </w:p>
    <w:p w14:paraId="7D285219" w14:textId="77777777" w:rsidR="003D20A4" w:rsidRPr="006570A7" w:rsidRDefault="003D20A4" w:rsidP="003D20A4">
      <w:pPr>
        <w:numPr>
          <w:ilvl w:val="0"/>
          <w:numId w:val="2"/>
        </w:numPr>
        <w:shd w:val="clear" w:color="auto" w:fill="FFFFFF"/>
        <w:spacing w:after="12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výpověď nebo odstoupení od smlouvy, nebo</w:t>
      </w:r>
    </w:p>
    <w:p w14:paraId="0EE2823F" w14:textId="77777777" w:rsidR="003D20A4" w:rsidRPr="006570A7" w:rsidRDefault="003D20A4" w:rsidP="003D20A4">
      <w:pPr>
        <w:numPr>
          <w:ilvl w:val="0"/>
          <w:numId w:val="2"/>
        </w:numPr>
        <w:shd w:val="clear" w:color="auto" w:fill="FFFFFF"/>
        <w:spacing w:after="12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zásah do práva na ochranu osobnosti.</w:t>
      </w:r>
    </w:p>
    <w:p w14:paraId="22AB536D" w14:textId="77777777" w:rsidR="003D20A4" w:rsidRPr="006570A7" w:rsidRDefault="003D20A4" w:rsidP="003D20A4">
      <w:pPr>
        <w:spacing w:after="120" w:line="259" w:lineRule="auto"/>
        <w:ind w:left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Ochrany před odvetnými opatřeními se nelze vzdát ani je nelze omezit žádnou dohodou či podmínkami pracovního poměru či obdobného pracovního vztahu.</w:t>
      </w:r>
    </w:p>
    <w:p w14:paraId="21AC3A57" w14:textId="77777777" w:rsidR="003D20A4" w:rsidRPr="006570A7" w:rsidRDefault="003D20A4" w:rsidP="003D20A4">
      <w:pPr>
        <w:spacing w:after="120" w:line="259" w:lineRule="auto"/>
        <w:ind w:left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Oznamovateli náleží ochrana podle zákona č. 171/2023 Sb., o ochraně oznamovatelů, pokud:</w:t>
      </w:r>
    </w:p>
    <w:p w14:paraId="6746E8DB" w14:textId="77777777" w:rsidR="003D20A4" w:rsidRPr="006570A7" w:rsidRDefault="003D20A4" w:rsidP="003D20A4">
      <w:pPr>
        <w:numPr>
          <w:ilvl w:val="0"/>
          <w:numId w:val="2"/>
        </w:numPr>
        <w:spacing w:after="12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nepodal vědomě nepravdivé oznámení a</w:t>
      </w:r>
    </w:p>
    <w:p w14:paraId="265FFDD1" w14:textId="77777777" w:rsidR="003D20A4" w:rsidRPr="006570A7" w:rsidRDefault="003D20A4" w:rsidP="003D20A4">
      <w:pPr>
        <w:numPr>
          <w:ilvl w:val="0"/>
          <w:numId w:val="2"/>
        </w:numPr>
        <w:spacing w:after="12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podal oznámení v souladu se zákonem buď prostřednictvím vnitřního oznamovacího systému, externího oznamovacího systému Ministerstva spravedlnosti, nebo učinil uveřejnění, případně oznámení podali přímo jinému příslušnému orgánu veřejné moci.</w:t>
      </w:r>
    </w:p>
    <w:p w14:paraId="4B98EFC0" w14:textId="77777777" w:rsidR="003D20A4" w:rsidRPr="006570A7" w:rsidRDefault="003D20A4" w:rsidP="003D20A4">
      <w:pPr>
        <w:spacing w:after="120" w:line="259" w:lineRule="auto"/>
        <w:ind w:left="284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Ochrana náleží také dalším osobám podle § 4 odst. 2 písm. a) až h) zákona.</w:t>
      </w:r>
    </w:p>
    <w:p w14:paraId="453274C3" w14:textId="77777777" w:rsidR="003D20A4" w:rsidRPr="006570A7" w:rsidRDefault="003D20A4" w:rsidP="003D20A4">
      <w:pPr>
        <w:spacing w:after="120" w:line="259" w:lineRule="auto"/>
        <w:ind w:left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V případě porušení zákazu uplatnění odvetných opatření se oznamovatel bude moci vůči původci odvetného opatření domáhat ochrany před soudem. V rámci občanského soudního 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řízení disponují oznamovatelé v postavení žalobce následujícími procesními výhodami: obráceným důkazním břemenem (žalovaný musí prokazovat, že tvrzené odvetné opatření bylo motivováno jinými důvody než podáním oznámení) a možnost navrhnout nařízení předběžného opatření bez povinnosti skládat jistotu. Osoby ve služebním poměru mohou odvolacímu orgánu navrhnout odkladný účinek rozhodnutí, které má znaky odvetného opatření, nebo pozastavení jeho vykonatelnosti. </w:t>
      </w:r>
    </w:p>
    <w:p w14:paraId="3BB638C7" w14:textId="77777777" w:rsidR="003D20A4" w:rsidRPr="006570A7" w:rsidRDefault="003D20A4" w:rsidP="003D20A4">
      <w:pPr>
        <w:numPr>
          <w:ilvl w:val="0"/>
          <w:numId w:val="1"/>
        </w:numPr>
        <w:spacing w:after="120" w:line="259" w:lineRule="auto"/>
        <w:ind w:left="357" w:hanging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 xml:space="preserve">Vědomě nepravdivé oznámení </w:t>
      </w:r>
    </w:p>
    <w:p w14:paraId="58ACFF43" w14:textId="77777777" w:rsidR="003D20A4" w:rsidRDefault="003D20A4" w:rsidP="003D20A4">
      <w:pPr>
        <w:spacing w:after="120" w:line="259" w:lineRule="auto"/>
        <w:ind w:left="35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Fyzická osoba se dopustí přestupku tím, že podá vědomě nepravdivé oznámení. Za přestupek podle odstavce 1 lze uložit pokutu do 50 000 Kč. Oznamovatel může být za podání nepravdivého oznámení rovněž odpovědný podle jiných právních předpisů.</w:t>
      </w:r>
    </w:p>
    <w:p w14:paraId="24419F54" w14:textId="77777777" w:rsidR="000E30E2" w:rsidRDefault="000E30E2"/>
    <w:sectPr w:rsidR="000E30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53638" w14:textId="77777777" w:rsidR="00A313D2" w:rsidRDefault="00A313D2" w:rsidP="00A313D2">
      <w:pPr>
        <w:spacing w:after="0" w:line="240" w:lineRule="auto"/>
      </w:pPr>
      <w:r>
        <w:separator/>
      </w:r>
    </w:p>
  </w:endnote>
  <w:endnote w:type="continuationSeparator" w:id="0">
    <w:p w14:paraId="78B2BD29" w14:textId="77777777" w:rsidR="00A313D2" w:rsidRDefault="00A313D2" w:rsidP="00A31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A54C2" w14:textId="77777777" w:rsidR="00A313D2" w:rsidRDefault="00A313D2" w:rsidP="00A313D2">
    <w:pPr>
      <w:pStyle w:val="Zpat"/>
      <w:jc w:val="center"/>
    </w:pPr>
    <w:sdt>
      <w:sdtPr>
        <w:rPr>
          <w:rFonts w:ascii="Arial" w:hAnsi="Arial" w:cs="Arial"/>
          <w:sz w:val="20"/>
          <w:szCs w:val="20"/>
        </w:rPr>
        <w:id w:val="1728636285"/>
        <w:docPartObj>
          <w:docPartGallery w:val="Page Numbers (Top of Page)"/>
          <w:docPartUnique/>
        </w:docPartObj>
      </w:sdtPr>
      <w:sdtEndPr>
        <w:rPr>
          <w:rFonts w:ascii="Calibri" w:hAnsi="Calibri" w:cs="Times New Roman"/>
          <w:sz w:val="22"/>
          <w:szCs w:val="22"/>
        </w:rPr>
      </w:sdtEndPr>
      <w:sdtContent>
        <w:r w:rsidRPr="00EF59A0">
          <w:rPr>
            <w:rFonts w:ascii="Arial" w:hAnsi="Arial" w:cs="Arial"/>
            <w:sz w:val="20"/>
            <w:szCs w:val="20"/>
          </w:rPr>
          <w:t xml:space="preserve">Stránka </w: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EF59A0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19</w: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EF59A0">
          <w:rPr>
            <w:rFonts w:ascii="Arial" w:hAnsi="Arial" w:cs="Arial"/>
            <w:sz w:val="20"/>
            <w:szCs w:val="20"/>
          </w:rPr>
          <w:t xml:space="preserve"> z </w: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EF59A0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30</w: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sdtContent>
    </w:sdt>
  </w:p>
  <w:p w14:paraId="1F353EFF" w14:textId="77777777" w:rsidR="00A313D2" w:rsidRDefault="00A313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23168" w14:textId="77777777" w:rsidR="00A313D2" w:rsidRDefault="00A313D2" w:rsidP="00A313D2">
      <w:pPr>
        <w:spacing w:after="0" w:line="240" w:lineRule="auto"/>
      </w:pPr>
      <w:r>
        <w:separator/>
      </w:r>
    </w:p>
  </w:footnote>
  <w:footnote w:type="continuationSeparator" w:id="0">
    <w:p w14:paraId="3571EB97" w14:textId="77777777" w:rsidR="00A313D2" w:rsidRDefault="00A313D2" w:rsidP="00A31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58B8"/>
    <w:multiLevelType w:val="hybridMultilevel"/>
    <w:tmpl w:val="E106351C"/>
    <w:lvl w:ilvl="0" w:tplc="2EA492A2">
      <w:start w:val="5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5E4D04FB"/>
    <w:multiLevelType w:val="hybridMultilevel"/>
    <w:tmpl w:val="7A0EE39A"/>
    <w:lvl w:ilvl="0" w:tplc="A8EAAB06">
      <w:start w:val="3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73F71E5C"/>
    <w:multiLevelType w:val="hybridMultilevel"/>
    <w:tmpl w:val="BD086172"/>
    <w:lvl w:ilvl="0" w:tplc="B86A4FB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380726">
    <w:abstractNumId w:val="2"/>
  </w:num>
  <w:num w:numId="2" w16cid:durableId="1326280728">
    <w:abstractNumId w:val="1"/>
  </w:num>
  <w:num w:numId="3" w16cid:durableId="543954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A4"/>
    <w:rsid w:val="000E30E2"/>
    <w:rsid w:val="003D20A4"/>
    <w:rsid w:val="00A313D2"/>
    <w:rsid w:val="00B0534F"/>
    <w:rsid w:val="00EA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A7FF"/>
  <w15:chartTrackingRefBased/>
  <w15:docId w15:val="{23517BB8-2F3A-407B-80F8-D44FC608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0A4"/>
    <w:pPr>
      <w:spacing w:after="200" w:line="276" w:lineRule="auto"/>
    </w:pPr>
    <w:rPr>
      <w:rFonts w:ascii="Calibri" w:eastAsia="Times New Roman" w:hAnsi="Calibri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D20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2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20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20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20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20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20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20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20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20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20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20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20A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20A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20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20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20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20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D20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D2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20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D20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D2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D20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D20A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D20A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20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20A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D20A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3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13D2"/>
    <w:rPr>
      <w:rFonts w:ascii="Calibri" w:eastAsia="Times New Roman" w:hAnsi="Calibri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31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13D2"/>
    <w:rPr>
      <w:rFonts w:ascii="Calibri" w:eastAsia="Times New Roman" w:hAnsi="Calibri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Urbánková Kateřina Ing.</dc:creator>
  <cp:keywords/>
  <dc:description/>
  <cp:lastModifiedBy>Urbánková Kateřina Ing.</cp:lastModifiedBy>
  <cp:revision>2</cp:revision>
  <dcterms:created xsi:type="dcterms:W3CDTF">2025-04-01T07:32:00Z</dcterms:created>
  <dcterms:modified xsi:type="dcterms:W3CDTF">2025-04-01T07:46:00Z</dcterms:modified>
</cp:coreProperties>
</file>